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21EC" w14:textId="77777777" w:rsidR="004D7AE8" w:rsidRPr="004D7AE8" w:rsidRDefault="004D7AE8" w:rsidP="004D7AE8">
      <w:pPr>
        <w:shd w:val="clear" w:color="auto" w:fill="F2F2F2"/>
        <w:spacing w:after="18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4D7AE8">
        <w:rPr>
          <w:rFonts w:ascii="Arial" w:eastAsia="Times New Roman" w:hAnsi="Arial" w:cs="Arial"/>
          <w:b/>
          <w:bCs/>
          <w:color w:val="4D4D4D"/>
          <w:sz w:val="27"/>
          <w:szCs w:val="27"/>
          <w:lang w:eastAsia="sk-SK"/>
        </w:rPr>
        <w:t>ASISTOVANÉ SČÍTANIE OBYVATEĽSTVA 2021</w:t>
      </w:r>
    </w:p>
    <w:p w14:paraId="15FF1734" w14:textId="77777777" w:rsidR="004D7AE8" w:rsidRPr="004D7AE8" w:rsidRDefault="004D7AE8" w:rsidP="004D7AE8">
      <w:pPr>
        <w:shd w:val="clear" w:color="auto" w:fill="F2F2F2"/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4D7AE8">
        <w:rPr>
          <w:rFonts w:ascii="Arial" w:eastAsia="Times New Roman" w:hAnsi="Arial" w:cs="Arial"/>
          <w:b/>
          <w:bCs/>
          <w:color w:val="4D4D4D"/>
          <w:sz w:val="27"/>
          <w:szCs w:val="27"/>
          <w:u w:val="single"/>
          <w:lang w:eastAsia="sk-SK"/>
        </w:rPr>
        <w:t>Od 3. mája do 13. júna 2021</w:t>
      </w: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 bude na Slovensku prebiehať </w:t>
      </w:r>
      <w:r w:rsidRPr="004D7AE8">
        <w:rPr>
          <w:rFonts w:ascii="Arial" w:eastAsia="Times New Roman" w:hAnsi="Arial" w:cs="Arial"/>
          <w:b/>
          <w:bCs/>
          <w:color w:val="4D4D4D"/>
          <w:sz w:val="27"/>
          <w:szCs w:val="27"/>
          <w:lang w:eastAsia="sk-SK"/>
        </w:rPr>
        <w:t>asistované sčítavanie obyvateľov</w:t>
      </w: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. Termín asistovaného sčítania určil predseda Štatistického úradu SR na základe epidemickej situácie na Slovensku. Občania, ktorí sa nevedeli alebo nemali možnosť sami sčítať počas elektronického </w:t>
      </w:r>
      <w:proofErr w:type="spellStart"/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samosčítania</w:t>
      </w:r>
      <w:proofErr w:type="spellEnd"/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 obyvateľov sa sčítajú pomocou asistenta sčítania, a to:</w:t>
      </w:r>
    </w:p>
    <w:p w14:paraId="7629EFC4" w14:textId="5C1CCB04" w:rsidR="004D7AE8" w:rsidRPr="004D7AE8" w:rsidRDefault="004D7AE8" w:rsidP="004D7AE8">
      <w:pPr>
        <w:shd w:val="clear" w:color="auto" w:fill="F2F2F2"/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- na kontaktnom m</w:t>
      </w:r>
      <w:r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ieste na Obecnom úrade </w:t>
      </w:r>
      <w:r w:rsidR="007329CB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v </w:t>
      </w:r>
      <w:r>
        <w:rPr>
          <w:rFonts w:ascii="Arial" w:eastAsia="Times New Roman" w:hAnsi="Arial" w:cs="Arial"/>
          <w:color w:val="4D4D4D"/>
          <w:sz w:val="27"/>
          <w:szCs w:val="27"/>
          <w:lang w:eastAsia="sk-SK"/>
        </w:rPr>
        <w:t>K</w:t>
      </w:r>
      <w:r w:rsidR="007329CB"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unešove </w:t>
      </w:r>
      <w:r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 </w:t>
      </w:r>
    </w:p>
    <w:p w14:paraId="41E03627" w14:textId="77777777" w:rsidR="004D7AE8" w:rsidRPr="004D7AE8" w:rsidRDefault="004D7AE8" w:rsidP="004D7AE8">
      <w:pPr>
        <w:shd w:val="clear" w:color="auto" w:fill="F2F2F2"/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- s pomocou mobilného asistenta, o ktorého musí občan telefonicky požiadať najskôr od prvého dňa asistovaného sčítania</w:t>
      </w:r>
    </w:p>
    <w:p w14:paraId="518A4B10" w14:textId="51010D59" w:rsidR="004D7AE8" w:rsidRPr="004D7AE8" w:rsidRDefault="004D7AE8" w:rsidP="004D7AE8">
      <w:pPr>
        <w:numPr>
          <w:ilvl w:val="0"/>
          <w:numId w:val="1"/>
        </w:numPr>
        <w:shd w:val="clear" w:color="auto" w:fill="F2F2F2"/>
        <w:spacing w:before="100" w:beforeAutospacing="1"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na obecnom úrade n</w:t>
      </w:r>
      <w:r>
        <w:rPr>
          <w:rFonts w:ascii="Arial" w:eastAsia="Times New Roman" w:hAnsi="Arial" w:cs="Arial"/>
          <w:color w:val="4D4D4D"/>
          <w:sz w:val="27"/>
          <w:szCs w:val="27"/>
          <w:lang w:eastAsia="sk-SK"/>
        </w:rPr>
        <w:t>a telefónnom čísle 045/67551</w:t>
      </w:r>
      <w:r w:rsidR="007329CB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85</w:t>
      </w:r>
    </w:p>
    <w:p w14:paraId="416E76EF" w14:textId="77777777" w:rsidR="004D7AE8" w:rsidRPr="004D7AE8" w:rsidRDefault="004D7AE8" w:rsidP="004D7A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na </w:t>
      </w:r>
      <w:proofErr w:type="spellStart"/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call</w:t>
      </w:r>
      <w:proofErr w:type="spellEnd"/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 centre Štatistického úradu SR (číslo bude zverejnené na   stránke </w:t>
      </w:r>
      <w:hyperlink r:id="rId5" w:tgtFrame="_blank" w:history="1">
        <w:r w:rsidRPr="004D7AE8">
          <w:rPr>
            <w:rFonts w:ascii="Arial" w:eastAsia="Times New Roman" w:hAnsi="Arial" w:cs="Arial"/>
            <w:color w:val="D90012"/>
            <w:sz w:val="27"/>
            <w:szCs w:val="27"/>
            <w:u w:val="single"/>
            <w:lang w:eastAsia="sk-SK"/>
          </w:rPr>
          <w:t>www.scitanie.sk</w:t>
        </w:r>
      </w:hyperlink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)</w:t>
      </w:r>
    </w:p>
    <w:p w14:paraId="45D58BA9" w14:textId="77777777" w:rsidR="004D7AE8" w:rsidRPr="004D7AE8" w:rsidRDefault="004D7AE8" w:rsidP="004D7AE8">
      <w:pPr>
        <w:shd w:val="clear" w:color="auto" w:fill="F2F2F2"/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Na základe Zákona č. 223/2019 Z. z. o sčítaní obyvateľov, domov a bytov v roku 2021 je </w:t>
      </w:r>
      <w:r w:rsidRPr="004D7AE8">
        <w:rPr>
          <w:rFonts w:ascii="Arial" w:eastAsia="Times New Roman" w:hAnsi="Arial" w:cs="Arial"/>
          <w:b/>
          <w:bCs/>
          <w:color w:val="4D4D4D"/>
          <w:sz w:val="27"/>
          <w:szCs w:val="27"/>
          <w:lang w:eastAsia="sk-SK"/>
        </w:rPr>
        <w:t>povinnosťou každého občana</w:t>
      </w: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 s trvalým, prechodným alebo tolerovaným pobytom na území Slovenskej republiky </w:t>
      </w:r>
      <w:r w:rsidRPr="004D7AE8">
        <w:rPr>
          <w:rFonts w:ascii="Arial" w:eastAsia="Times New Roman" w:hAnsi="Arial" w:cs="Arial"/>
          <w:b/>
          <w:bCs/>
          <w:color w:val="4D4D4D"/>
          <w:sz w:val="27"/>
          <w:szCs w:val="27"/>
          <w:lang w:eastAsia="sk-SK"/>
        </w:rPr>
        <w:t>sčítať sa</w:t>
      </w: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. Pri nesplnení povinnosti sa občan dopustí správneho deliktu a môže mu byť uložená </w:t>
      </w:r>
      <w:r w:rsidRPr="004D7AE8">
        <w:rPr>
          <w:rFonts w:ascii="Arial" w:eastAsia="Times New Roman" w:hAnsi="Arial" w:cs="Arial"/>
          <w:b/>
          <w:bCs/>
          <w:color w:val="4D4D4D"/>
          <w:sz w:val="27"/>
          <w:szCs w:val="27"/>
          <w:lang w:eastAsia="sk-SK"/>
        </w:rPr>
        <w:t>pokuta </w:t>
      </w: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podľa §30 ods. 1 písm. a) uvedeného zákona až </w:t>
      </w:r>
      <w:r w:rsidRPr="004D7AE8">
        <w:rPr>
          <w:rFonts w:ascii="Arial" w:eastAsia="Times New Roman" w:hAnsi="Arial" w:cs="Arial"/>
          <w:b/>
          <w:bCs/>
          <w:color w:val="4D4D4D"/>
          <w:sz w:val="27"/>
          <w:szCs w:val="27"/>
          <w:lang w:eastAsia="sk-SK"/>
        </w:rPr>
        <w:t>do výšky 250 Eur</w:t>
      </w: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.</w:t>
      </w:r>
    </w:p>
    <w:p w14:paraId="2C5BAE42" w14:textId="77777777" w:rsidR="004D7AE8" w:rsidRPr="004D7AE8" w:rsidRDefault="004D7AE8" w:rsidP="004D7AE8">
      <w:pPr>
        <w:shd w:val="clear" w:color="auto" w:fill="F2F2F2"/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4D7AE8">
        <w:rPr>
          <w:rFonts w:ascii="Arial" w:eastAsia="Times New Roman" w:hAnsi="Arial" w:cs="Arial"/>
          <w:b/>
          <w:bCs/>
          <w:color w:val="4D4D4D"/>
          <w:sz w:val="27"/>
          <w:szCs w:val="27"/>
          <w:u w:val="single"/>
          <w:lang w:eastAsia="sk-SK"/>
        </w:rPr>
        <w:t>UPOZORNENIE!</w:t>
      </w:r>
    </w:p>
    <w:p w14:paraId="5438E7FA" w14:textId="77777777" w:rsidR="004D7AE8" w:rsidRPr="004D7AE8" w:rsidRDefault="004D7AE8" w:rsidP="004D7AE8">
      <w:pPr>
        <w:shd w:val="clear" w:color="auto" w:fill="F2F2F2"/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7329CB">
        <w:rPr>
          <w:rFonts w:ascii="Arial" w:eastAsia="Times New Roman" w:hAnsi="Arial" w:cs="Arial"/>
          <w:sz w:val="27"/>
          <w:szCs w:val="27"/>
          <w:lang w:eastAsia="sk-SK"/>
        </w:rPr>
        <w:t xml:space="preserve">Každý mobilný asistent je vybavený preukazom mobilného asistenta, ktorý predloží pri kontakte s obyvateľom. Preukaz musí splniť nasledujúce náležitosti: meno a priezvisko asistenta, identifikátor asistenta sčítania a evidenčné číslo preukazu asistenta. Totožnosť asistenta, ktorý kontaktuje obyvateľa na základe predchádzajúceho objednania na čísle </w:t>
      </w:r>
      <w:proofErr w:type="spellStart"/>
      <w:r w:rsidRPr="007329CB">
        <w:rPr>
          <w:rFonts w:ascii="Arial" w:eastAsia="Times New Roman" w:hAnsi="Arial" w:cs="Arial"/>
          <w:sz w:val="27"/>
          <w:szCs w:val="27"/>
          <w:lang w:eastAsia="sk-SK"/>
        </w:rPr>
        <w:t>call</w:t>
      </w:r>
      <w:proofErr w:type="spellEnd"/>
      <w:r w:rsidRPr="007329CB">
        <w:rPr>
          <w:rFonts w:ascii="Arial" w:eastAsia="Times New Roman" w:hAnsi="Arial" w:cs="Arial"/>
          <w:sz w:val="27"/>
          <w:szCs w:val="27"/>
          <w:lang w:eastAsia="sk-SK"/>
        </w:rPr>
        <w:t xml:space="preserve"> centra alebo v obci, je možné si spätne overiť zavolaním na obec. Odporúčame obyvateľom, aby si pri prvom telefonáte s mobilným asistentom vyžiadali od neho jeho celé meno a evidenčné číslo preukazu mobilného asistenta, prípadne aj identifikátor asistenta sčítania. Na základe týchto údajov </w:t>
      </w: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 xml:space="preserve">je </w:t>
      </w:r>
      <w:r w:rsidRPr="007329CB">
        <w:rPr>
          <w:rFonts w:ascii="Arial" w:eastAsia="Times New Roman" w:hAnsi="Arial" w:cs="Arial"/>
          <w:sz w:val="27"/>
          <w:szCs w:val="27"/>
          <w:lang w:eastAsia="sk-SK"/>
        </w:rPr>
        <w:t>možné si overiť totožnosť asistenta v obci</w:t>
      </w: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. </w:t>
      </w:r>
      <w:r w:rsidRPr="007329CB">
        <w:rPr>
          <w:rFonts w:ascii="Arial" w:eastAsia="Times New Roman" w:hAnsi="Arial" w:cs="Arial"/>
          <w:b/>
          <w:bCs/>
          <w:color w:val="FF0000"/>
          <w:sz w:val="27"/>
          <w:szCs w:val="27"/>
          <w:lang w:eastAsia="sk-SK"/>
        </w:rPr>
        <w:t>MOBILNÝ ASISTENT NECHODÍ pri sčítaní 2021 k obyvateľovi domov bez predošlej požiadavky občana.</w:t>
      </w:r>
      <w:r w:rsidRPr="007329CB">
        <w:rPr>
          <w:rFonts w:ascii="Arial" w:eastAsia="Times New Roman" w:hAnsi="Arial" w:cs="Arial"/>
          <w:color w:val="FF0000"/>
          <w:sz w:val="27"/>
          <w:szCs w:val="27"/>
          <w:lang w:eastAsia="sk-SK"/>
        </w:rPr>
        <w:t> </w:t>
      </w:r>
      <w:r w:rsidRPr="007329CB">
        <w:rPr>
          <w:rFonts w:ascii="Arial" w:eastAsia="Times New Roman" w:hAnsi="Arial" w:cs="Arial"/>
          <w:sz w:val="27"/>
          <w:szCs w:val="27"/>
          <w:lang w:eastAsia="sk-SK"/>
        </w:rPr>
        <w:t>Ak sa s takýmto postupom stretnete, dôrazne odporúčame nevpúšťať neznáme osoby do bytu či domu a kontaktovať obec alebo políciu</w:t>
      </w: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.</w:t>
      </w:r>
    </w:p>
    <w:p w14:paraId="26283F08" w14:textId="77777777" w:rsidR="004D7AE8" w:rsidRPr="004D7AE8" w:rsidRDefault="004D7AE8" w:rsidP="004D7AE8">
      <w:pPr>
        <w:shd w:val="clear" w:color="auto" w:fill="F2F2F2"/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7329CB">
        <w:rPr>
          <w:rFonts w:ascii="Arial" w:eastAsia="Times New Roman" w:hAnsi="Arial" w:cs="Arial"/>
          <w:sz w:val="27"/>
          <w:szCs w:val="27"/>
          <w:lang w:eastAsia="sk-SK"/>
        </w:rPr>
        <w:t>Všetky informácie nájdete na</w:t>
      </w:r>
      <w:r w:rsidRPr="004D7AE8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: </w:t>
      </w:r>
      <w:hyperlink r:id="rId6" w:tgtFrame="_blank" w:history="1">
        <w:r w:rsidRPr="004D7AE8">
          <w:rPr>
            <w:rFonts w:ascii="Arial" w:eastAsia="Times New Roman" w:hAnsi="Arial" w:cs="Arial"/>
            <w:color w:val="D90012"/>
            <w:sz w:val="27"/>
            <w:szCs w:val="27"/>
            <w:u w:val="single"/>
            <w:lang w:eastAsia="sk-SK"/>
          </w:rPr>
          <w:t>https://www.scitanie.sk</w:t>
        </w:r>
      </w:hyperlink>
    </w:p>
    <w:p w14:paraId="7106EE3E" w14:textId="77777777" w:rsidR="00045695" w:rsidRDefault="00045695"/>
    <w:sectPr w:rsidR="0004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7805"/>
    <w:multiLevelType w:val="multilevel"/>
    <w:tmpl w:val="64A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E8"/>
    <w:rsid w:val="00045695"/>
    <w:rsid w:val="00195F61"/>
    <w:rsid w:val="004D7AE8"/>
    <w:rsid w:val="0073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872D"/>
  <w15:chartTrackingRefBased/>
  <w15:docId w15:val="{3B99293D-9ADB-4652-A889-80461AD7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tanie.sk/?fbclid=IwAR3Y-6e2tr9cox4FmAYamhNmA0cxw5dC1cQyrHx98Xa44_raxUW6IBPoQRM" TargetMode="External"/><Relationship Id="rId5" Type="http://schemas.openxmlformats.org/officeDocument/2006/relationships/hyperlink" Target="https://l.facebook.com/l.php?u=https%3A%2F%2Fwww.scitanie.sk%2F%3Ffbclid%3DIwAR3taoRhBRS1S6TCvPfMJkYZuPj-e8BDhfnCH5NONDpH29doGKLcESF1SEM&amp;h=AT3eZq0iXeaWyrIGxU_thqIW3boaqz5oHVxq6rkt0BUXlkPmXKb774ytZrMUGYNKMZtosGAMZ1IszTejKdvPGItoPr3rqKB2Adv7c5yuPWccQ49o5BlFXec_yi9x6bWGWUHX&amp;__tn__=-UK-R&amp;c%5b0%5d=AT3QyLv1I5vQ7zAzC60oX9Wf3i7u8kVxmPgSIEKAUqmYd7c5Y3lhgAcE4vHKap8ejfO0YS7CcGV3vnHpDhxBFGSCmqm0mrCGBYgvPmXWm-Ppo-8bSNcCyaDGTd4Pt1indeoQY2YkanfV1ackzY0Ex-RvurIGglmL8YA9-mu9EJAlj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PRIWITZEROVÁ Daniela</dc:creator>
  <cp:keywords/>
  <dc:description/>
  <cp:lastModifiedBy>HP</cp:lastModifiedBy>
  <cp:revision>3</cp:revision>
  <dcterms:created xsi:type="dcterms:W3CDTF">2021-05-03T05:59:00Z</dcterms:created>
  <dcterms:modified xsi:type="dcterms:W3CDTF">2021-05-03T06:02:00Z</dcterms:modified>
</cp:coreProperties>
</file>